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5"/>
        <w:gridCol w:w="3807"/>
        <w:gridCol w:w="4860"/>
        <w:gridCol w:w="4132"/>
      </w:tblGrid>
      <w:tr w:rsidR="00636744" w:rsidRPr="00957086" w14:paraId="57EE5887" w14:textId="77777777" w:rsidTr="00636744">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2E74B5"/>
            <w:hideMark/>
          </w:tcPr>
          <w:p w14:paraId="4D5E8E74" w14:textId="77777777" w:rsidR="00957086" w:rsidRPr="00957086" w:rsidRDefault="00957086" w:rsidP="00957086">
            <w:pPr>
              <w:textAlignment w:val="baseline"/>
              <w:rPr>
                <w:rFonts w:ascii="Segoe UI" w:eastAsia="Times New Roman" w:hAnsi="Segoe UI" w:cs="Segoe UI"/>
                <w:sz w:val="18"/>
                <w:szCs w:val="18"/>
              </w:rPr>
            </w:pPr>
            <w:r w:rsidRPr="00957086">
              <w:rPr>
                <w:rFonts w:ascii="Calibri" w:eastAsia="Times New Roman" w:hAnsi="Calibri" w:cs="Calibri"/>
                <w:sz w:val="18"/>
                <w:szCs w:val="18"/>
              </w:rPr>
              <w:t> </w:t>
            </w:r>
          </w:p>
        </w:tc>
        <w:tc>
          <w:tcPr>
            <w:tcW w:w="3807" w:type="dxa"/>
            <w:tcBorders>
              <w:top w:val="single" w:sz="6" w:space="0" w:color="000000"/>
              <w:left w:val="single" w:sz="6" w:space="0" w:color="000000"/>
              <w:bottom w:val="single" w:sz="6" w:space="0" w:color="000000"/>
              <w:right w:val="single" w:sz="6" w:space="0" w:color="000000"/>
            </w:tcBorders>
            <w:shd w:val="clear" w:color="auto" w:fill="2E74B5"/>
            <w:hideMark/>
          </w:tcPr>
          <w:p w14:paraId="3F8BD607" w14:textId="77777777" w:rsidR="00957086" w:rsidRPr="00957086" w:rsidRDefault="00957086" w:rsidP="00636744">
            <w:pPr>
              <w:ind w:left="109" w:right="163"/>
              <w:textAlignment w:val="baseline"/>
              <w:rPr>
                <w:rFonts w:ascii="Segoe UI" w:eastAsia="Times New Roman" w:hAnsi="Segoe UI" w:cs="Segoe UI"/>
                <w:sz w:val="18"/>
                <w:szCs w:val="18"/>
              </w:rPr>
            </w:pPr>
            <w:r w:rsidRPr="00957086">
              <w:rPr>
                <w:rFonts w:ascii="Calibri" w:eastAsia="Times New Roman" w:hAnsi="Calibri" w:cs="Calibri"/>
                <w:color w:val="FFFFFF"/>
                <w:sz w:val="18"/>
                <w:szCs w:val="18"/>
              </w:rPr>
              <w:t>Wi-Fi </w:t>
            </w:r>
          </w:p>
        </w:tc>
        <w:tc>
          <w:tcPr>
            <w:tcW w:w="4860" w:type="dxa"/>
            <w:tcBorders>
              <w:top w:val="single" w:sz="6" w:space="0" w:color="000000"/>
              <w:left w:val="single" w:sz="6" w:space="0" w:color="000000"/>
              <w:bottom w:val="single" w:sz="6" w:space="0" w:color="000000"/>
              <w:right w:val="single" w:sz="6" w:space="0" w:color="000000"/>
            </w:tcBorders>
            <w:shd w:val="clear" w:color="auto" w:fill="2E74B5"/>
            <w:hideMark/>
          </w:tcPr>
          <w:p w14:paraId="729E94DE" w14:textId="77777777" w:rsidR="00957086" w:rsidRPr="00957086" w:rsidRDefault="00957086" w:rsidP="00636744">
            <w:pPr>
              <w:ind w:left="106" w:right="117"/>
              <w:textAlignment w:val="baseline"/>
              <w:rPr>
                <w:rFonts w:ascii="Segoe UI" w:eastAsia="Times New Roman" w:hAnsi="Segoe UI" w:cs="Segoe UI"/>
                <w:sz w:val="18"/>
                <w:szCs w:val="18"/>
              </w:rPr>
            </w:pPr>
            <w:r w:rsidRPr="00957086">
              <w:rPr>
                <w:rFonts w:ascii="Calibri" w:eastAsia="Times New Roman" w:hAnsi="Calibri" w:cs="Calibri"/>
                <w:color w:val="FFFFFF"/>
                <w:sz w:val="18"/>
                <w:szCs w:val="18"/>
              </w:rPr>
              <w:t>Cel-Fi (DAS) </w:t>
            </w:r>
          </w:p>
        </w:tc>
        <w:tc>
          <w:tcPr>
            <w:tcW w:w="4132" w:type="dxa"/>
            <w:tcBorders>
              <w:top w:val="single" w:sz="6" w:space="0" w:color="000000"/>
              <w:left w:val="single" w:sz="6" w:space="0" w:color="000000"/>
              <w:bottom w:val="single" w:sz="6" w:space="0" w:color="000000"/>
              <w:right w:val="single" w:sz="6" w:space="0" w:color="000000"/>
            </w:tcBorders>
            <w:shd w:val="clear" w:color="auto" w:fill="2E74B5"/>
            <w:hideMark/>
          </w:tcPr>
          <w:p w14:paraId="48C2100B" w14:textId="77777777" w:rsidR="00957086" w:rsidRPr="00957086" w:rsidRDefault="00957086" w:rsidP="00636744">
            <w:pPr>
              <w:ind w:left="110" w:right="170"/>
              <w:textAlignment w:val="baseline"/>
              <w:rPr>
                <w:rFonts w:ascii="Segoe UI" w:eastAsia="Times New Roman" w:hAnsi="Segoe UI" w:cs="Segoe UI"/>
                <w:sz w:val="18"/>
                <w:szCs w:val="18"/>
              </w:rPr>
            </w:pPr>
            <w:r w:rsidRPr="00957086">
              <w:rPr>
                <w:rFonts w:ascii="Calibri" w:eastAsia="Times New Roman" w:hAnsi="Calibri" w:cs="Calibri"/>
                <w:color w:val="FFFFFF"/>
                <w:sz w:val="18"/>
                <w:szCs w:val="18"/>
              </w:rPr>
              <w:t>Small Cell </w:t>
            </w:r>
          </w:p>
        </w:tc>
      </w:tr>
      <w:tr w:rsidR="00636744" w:rsidRPr="00957086" w14:paraId="1DADC129" w14:textId="77777777" w:rsidTr="00636744">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2E74B5"/>
            <w:hideMark/>
          </w:tcPr>
          <w:p w14:paraId="6DC70769" w14:textId="77777777" w:rsidR="00957086" w:rsidRPr="00957086" w:rsidRDefault="00957086" w:rsidP="00957086">
            <w:pPr>
              <w:textAlignment w:val="baseline"/>
              <w:rPr>
                <w:rFonts w:ascii="Segoe UI" w:eastAsia="Times New Roman" w:hAnsi="Segoe UI" w:cs="Segoe UI"/>
                <w:sz w:val="18"/>
                <w:szCs w:val="18"/>
              </w:rPr>
            </w:pPr>
            <w:r w:rsidRPr="00957086">
              <w:rPr>
                <w:rFonts w:ascii="Calibri" w:eastAsia="Times New Roman" w:hAnsi="Calibri" w:cs="Calibri"/>
                <w:color w:val="FFFFFF"/>
                <w:sz w:val="18"/>
                <w:szCs w:val="18"/>
              </w:rPr>
              <w:t>Definition: </w:t>
            </w:r>
          </w:p>
        </w:tc>
        <w:tc>
          <w:tcPr>
            <w:tcW w:w="3807" w:type="dxa"/>
            <w:tcBorders>
              <w:top w:val="single" w:sz="6" w:space="0" w:color="000000"/>
              <w:left w:val="single" w:sz="6" w:space="0" w:color="000000"/>
              <w:bottom w:val="single" w:sz="6" w:space="0" w:color="000000"/>
              <w:right w:val="single" w:sz="6" w:space="0" w:color="000000"/>
            </w:tcBorders>
            <w:shd w:val="clear" w:color="auto" w:fill="auto"/>
            <w:hideMark/>
          </w:tcPr>
          <w:p w14:paraId="07743538" w14:textId="77777777" w:rsidR="00957086" w:rsidRPr="00957086" w:rsidRDefault="00957086" w:rsidP="00636744">
            <w:pPr>
              <w:ind w:left="109" w:right="163"/>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Wi-Fi, short for Wireless Fidelity, is a wireless networking technology that allows devices to connect to the internet using radio waves. Wi-Fi operates on unlicensed frequencies. Wi-Fi networks are typically set up using access points that transmit and receive data between devices and the internet router. </w:t>
            </w:r>
          </w:p>
        </w:tc>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102A5261" w14:textId="77777777" w:rsidR="00957086" w:rsidRPr="00957086" w:rsidRDefault="00957086" w:rsidP="00636744">
            <w:pPr>
              <w:ind w:left="106" w:right="117"/>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DAS, or Distributed Antenna System, is a network of antennas strategically placed throughout a building or an area to enhance cellular coverage and capacity. With DAS, the signals received by the antennas are distributed through a series of cables, amplifiers, and connectors to provide robust cellular coverage. </w:t>
            </w:r>
          </w:p>
        </w:tc>
        <w:tc>
          <w:tcPr>
            <w:tcW w:w="4132" w:type="dxa"/>
            <w:tcBorders>
              <w:top w:val="single" w:sz="6" w:space="0" w:color="000000"/>
              <w:left w:val="single" w:sz="6" w:space="0" w:color="000000"/>
              <w:bottom w:val="single" w:sz="6" w:space="0" w:color="000000"/>
              <w:right w:val="single" w:sz="6" w:space="0" w:color="000000"/>
            </w:tcBorders>
            <w:shd w:val="clear" w:color="auto" w:fill="auto"/>
            <w:hideMark/>
          </w:tcPr>
          <w:p w14:paraId="42A70D15" w14:textId="77777777" w:rsidR="00957086" w:rsidRPr="00957086" w:rsidRDefault="00957086" w:rsidP="00636744">
            <w:pPr>
              <w:ind w:left="110" w:right="170"/>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Small Cells are low-powered cellular base stations that are typically installed indoors to improve mobile coverage and capacity in specific areas. These devices are more compact and cost-effective than traditional cell towers.  </w:t>
            </w:r>
          </w:p>
        </w:tc>
      </w:tr>
      <w:tr w:rsidR="00636744" w:rsidRPr="00957086" w14:paraId="736A9DE1" w14:textId="77777777" w:rsidTr="00636744">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2E74B5"/>
            <w:hideMark/>
          </w:tcPr>
          <w:p w14:paraId="2DD81644" w14:textId="77777777" w:rsidR="00957086" w:rsidRPr="00957086" w:rsidRDefault="00957086" w:rsidP="00957086">
            <w:pPr>
              <w:textAlignment w:val="baseline"/>
              <w:rPr>
                <w:rFonts w:ascii="Segoe UI" w:eastAsia="Times New Roman" w:hAnsi="Segoe UI" w:cs="Segoe UI"/>
                <w:sz w:val="18"/>
                <w:szCs w:val="18"/>
              </w:rPr>
            </w:pPr>
            <w:r w:rsidRPr="00957086">
              <w:rPr>
                <w:rFonts w:ascii="Calibri" w:eastAsia="Times New Roman" w:hAnsi="Calibri" w:cs="Calibri"/>
                <w:color w:val="FFFFFF"/>
                <w:sz w:val="18"/>
                <w:szCs w:val="18"/>
              </w:rPr>
              <w:t>Coverage Area: </w:t>
            </w:r>
          </w:p>
        </w:tc>
        <w:tc>
          <w:tcPr>
            <w:tcW w:w="3807" w:type="dxa"/>
            <w:tcBorders>
              <w:top w:val="single" w:sz="6" w:space="0" w:color="000000"/>
              <w:left w:val="single" w:sz="6" w:space="0" w:color="000000"/>
              <w:bottom w:val="single" w:sz="6" w:space="0" w:color="000000"/>
              <w:right w:val="single" w:sz="6" w:space="0" w:color="000000"/>
            </w:tcBorders>
            <w:shd w:val="clear" w:color="auto" w:fill="auto"/>
            <w:hideMark/>
          </w:tcPr>
          <w:p w14:paraId="55DAF669" w14:textId="77777777" w:rsidR="00957086" w:rsidRPr="00957086" w:rsidRDefault="00957086" w:rsidP="00636744">
            <w:pPr>
              <w:ind w:left="109" w:right="163"/>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Wi-Fi is designed to provide coverage in relatively small areas, such as individual rooms, floors, or buildings. </w:t>
            </w:r>
          </w:p>
          <w:p w14:paraId="4C2BED77" w14:textId="77777777" w:rsidR="00957086" w:rsidRPr="00957086" w:rsidRDefault="00957086" w:rsidP="00636744">
            <w:pPr>
              <w:ind w:left="109" w:right="163"/>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In general, a single Wi-Fi AP will cover 2,100 sq ft (office) - 4,000 sq ft (warehouse) depending on the environment. However, external antennas on APs can increase this coverage slightly. </w:t>
            </w:r>
          </w:p>
        </w:tc>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4C41C778" w14:textId="77777777" w:rsidR="00957086" w:rsidRPr="00957086" w:rsidRDefault="00957086" w:rsidP="00636744">
            <w:pPr>
              <w:ind w:left="106" w:right="117"/>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Commonly used in locations with a high density of users or areas where the existing cellular signal is weak. DAS can provide coverage across large buildings, campuses, or even entire neighborhoods. </w:t>
            </w:r>
          </w:p>
        </w:tc>
        <w:tc>
          <w:tcPr>
            <w:tcW w:w="4132" w:type="dxa"/>
            <w:tcBorders>
              <w:top w:val="single" w:sz="6" w:space="0" w:color="000000"/>
              <w:left w:val="single" w:sz="6" w:space="0" w:color="000000"/>
              <w:bottom w:val="single" w:sz="6" w:space="0" w:color="000000"/>
              <w:right w:val="single" w:sz="6" w:space="0" w:color="000000"/>
            </w:tcBorders>
            <w:shd w:val="clear" w:color="auto" w:fill="auto"/>
            <w:hideMark/>
          </w:tcPr>
          <w:p w14:paraId="128E2D40" w14:textId="77777777" w:rsidR="00957086" w:rsidRPr="00957086" w:rsidRDefault="00957086" w:rsidP="00636744">
            <w:pPr>
              <w:ind w:left="110" w:right="170"/>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Small Cells are designed to cover specific areas or zones within larger buildings or public spaces, such as hotels, shopping malls, stadiums, and offices, where they can provide targeted coverage to a smaller group of users, thereby reducing network congestion and improving overall service quality. </w:t>
            </w:r>
          </w:p>
        </w:tc>
      </w:tr>
      <w:tr w:rsidR="00636744" w:rsidRPr="00957086" w14:paraId="7A95BD7F" w14:textId="77777777" w:rsidTr="00636744">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2E74B5"/>
            <w:hideMark/>
          </w:tcPr>
          <w:p w14:paraId="5C37B254" w14:textId="77777777" w:rsidR="00957086" w:rsidRPr="00957086" w:rsidRDefault="00957086" w:rsidP="00957086">
            <w:pPr>
              <w:textAlignment w:val="baseline"/>
              <w:rPr>
                <w:rFonts w:ascii="Segoe UI" w:eastAsia="Times New Roman" w:hAnsi="Segoe UI" w:cs="Segoe UI"/>
                <w:sz w:val="18"/>
                <w:szCs w:val="18"/>
              </w:rPr>
            </w:pPr>
            <w:r w:rsidRPr="00957086">
              <w:rPr>
                <w:rFonts w:ascii="Calibri" w:eastAsia="Times New Roman" w:hAnsi="Calibri" w:cs="Calibri"/>
                <w:color w:val="FFFFFF"/>
                <w:sz w:val="18"/>
                <w:szCs w:val="18"/>
              </w:rPr>
              <w:t>Capacity: </w:t>
            </w:r>
          </w:p>
        </w:tc>
        <w:tc>
          <w:tcPr>
            <w:tcW w:w="3807" w:type="dxa"/>
            <w:tcBorders>
              <w:top w:val="single" w:sz="6" w:space="0" w:color="000000"/>
              <w:left w:val="single" w:sz="6" w:space="0" w:color="000000"/>
              <w:bottom w:val="single" w:sz="6" w:space="0" w:color="000000"/>
              <w:right w:val="single" w:sz="6" w:space="0" w:color="000000"/>
            </w:tcBorders>
            <w:shd w:val="clear" w:color="auto" w:fill="auto"/>
            <w:hideMark/>
          </w:tcPr>
          <w:p w14:paraId="5FC12871" w14:textId="77777777" w:rsidR="00957086" w:rsidRPr="00957086" w:rsidRDefault="00957086" w:rsidP="00636744">
            <w:pPr>
              <w:ind w:left="109" w:right="163"/>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Wi-Fi networks can handle a limited number of simultaneous connections, typically suitable for personal or small-scale usage. </w:t>
            </w:r>
          </w:p>
        </w:tc>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10394E6C" w14:textId="77777777" w:rsidR="00957086" w:rsidRPr="00957086" w:rsidRDefault="00957086" w:rsidP="00636744">
            <w:pPr>
              <w:ind w:left="106" w:right="117"/>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 xml:space="preserve">DAS solutions </w:t>
            </w:r>
            <w:proofErr w:type="gramStart"/>
            <w:r w:rsidRPr="00957086">
              <w:rPr>
                <w:rFonts w:ascii="Calibri" w:eastAsia="Times New Roman" w:hAnsi="Calibri" w:cs="Calibri"/>
                <w:sz w:val="18"/>
                <w:szCs w:val="18"/>
              </w:rPr>
              <w:t>have the ability to</w:t>
            </w:r>
            <w:proofErr w:type="gramEnd"/>
            <w:r w:rsidRPr="00957086">
              <w:rPr>
                <w:rFonts w:ascii="Calibri" w:eastAsia="Times New Roman" w:hAnsi="Calibri" w:cs="Calibri"/>
                <w:sz w:val="18"/>
                <w:szCs w:val="18"/>
              </w:rPr>
              <w:t xml:space="preserve"> handle a significant number of simultaneous connections, making them ideal for densely populated areas. </w:t>
            </w:r>
          </w:p>
        </w:tc>
        <w:tc>
          <w:tcPr>
            <w:tcW w:w="4132" w:type="dxa"/>
            <w:tcBorders>
              <w:top w:val="single" w:sz="6" w:space="0" w:color="000000"/>
              <w:left w:val="single" w:sz="6" w:space="0" w:color="000000"/>
              <w:bottom w:val="single" w:sz="6" w:space="0" w:color="000000"/>
              <w:right w:val="single" w:sz="6" w:space="0" w:color="000000"/>
            </w:tcBorders>
            <w:shd w:val="clear" w:color="auto" w:fill="auto"/>
            <w:hideMark/>
          </w:tcPr>
          <w:p w14:paraId="018230C6" w14:textId="77777777" w:rsidR="00957086" w:rsidRPr="00957086" w:rsidRDefault="00957086" w:rsidP="00636744">
            <w:pPr>
              <w:ind w:left="110" w:right="170"/>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These devices can handle a moderate number of concurrent connections and are suited for high-density locations. </w:t>
            </w:r>
          </w:p>
        </w:tc>
      </w:tr>
      <w:tr w:rsidR="00636744" w:rsidRPr="00957086" w14:paraId="26C98812" w14:textId="77777777" w:rsidTr="00636744">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2E74B5"/>
            <w:hideMark/>
          </w:tcPr>
          <w:p w14:paraId="5D93995D" w14:textId="77777777" w:rsidR="00957086" w:rsidRPr="00957086" w:rsidRDefault="00957086" w:rsidP="00957086">
            <w:pPr>
              <w:textAlignment w:val="baseline"/>
              <w:rPr>
                <w:rFonts w:ascii="Segoe UI" w:eastAsia="Times New Roman" w:hAnsi="Segoe UI" w:cs="Segoe UI"/>
                <w:sz w:val="18"/>
                <w:szCs w:val="18"/>
              </w:rPr>
            </w:pPr>
            <w:r w:rsidRPr="00957086">
              <w:rPr>
                <w:rFonts w:ascii="Calibri" w:eastAsia="Times New Roman" w:hAnsi="Calibri" w:cs="Calibri"/>
                <w:color w:val="FFFFFF"/>
                <w:sz w:val="18"/>
                <w:szCs w:val="18"/>
              </w:rPr>
              <w:t>Over-the-top Requirements: </w:t>
            </w:r>
          </w:p>
        </w:tc>
        <w:tc>
          <w:tcPr>
            <w:tcW w:w="3807" w:type="dxa"/>
            <w:tcBorders>
              <w:top w:val="single" w:sz="6" w:space="0" w:color="000000"/>
              <w:left w:val="single" w:sz="6" w:space="0" w:color="000000"/>
              <w:bottom w:val="single" w:sz="6" w:space="0" w:color="000000"/>
              <w:right w:val="single" w:sz="6" w:space="0" w:color="000000"/>
            </w:tcBorders>
            <w:shd w:val="clear" w:color="auto" w:fill="auto"/>
            <w:hideMark/>
          </w:tcPr>
          <w:p w14:paraId="026F5D48" w14:textId="77777777" w:rsidR="00957086" w:rsidRPr="00957086" w:rsidRDefault="00957086" w:rsidP="00636744">
            <w:pPr>
              <w:ind w:left="109" w:right="163"/>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Wi-Fi typically requires a separate internet connection (BB, DIA, etc.) to gain access to the internet </w:t>
            </w:r>
          </w:p>
        </w:tc>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055A3421" w14:textId="77777777" w:rsidR="00957086" w:rsidRPr="00957086" w:rsidRDefault="00957086" w:rsidP="00636744">
            <w:pPr>
              <w:ind w:left="106" w:right="117"/>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Wireless requires an active SIM &amp; data plan. Data plan will provide metered or unlimited access to the internet </w:t>
            </w:r>
          </w:p>
        </w:tc>
        <w:tc>
          <w:tcPr>
            <w:tcW w:w="4132" w:type="dxa"/>
            <w:tcBorders>
              <w:top w:val="single" w:sz="6" w:space="0" w:color="000000"/>
              <w:left w:val="single" w:sz="6" w:space="0" w:color="000000"/>
              <w:bottom w:val="single" w:sz="6" w:space="0" w:color="000000"/>
              <w:right w:val="single" w:sz="6" w:space="0" w:color="000000"/>
            </w:tcBorders>
            <w:shd w:val="clear" w:color="auto" w:fill="auto"/>
            <w:hideMark/>
          </w:tcPr>
          <w:p w14:paraId="708E8677" w14:textId="77777777" w:rsidR="00957086" w:rsidRPr="00957086" w:rsidRDefault="00957086" w:rsidP="00636744">
            <w:pPr>
              <w:ind w:left="110" w:right="170"/>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Wireless requires an active SIM &amp; data plan. Data plan will provide metered or unlimited access to the internet </w:t>
            </w:r>
          </w:p>
        </w:tc>
      </w:tr>
      <w:tr w:rsidR="00636744" w:rsidRPr="00957086" w14:paraId="0AC0F915" w14:textId="77777777" w:rsidTr="00636744">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2E74B5"/>
            <w:hideMark/>
          </w:tcPr>
          <w:p w14:paraId="1C75E70B" w14:textId="77777777" w:rsidR="00957086" w:rsidRPr="00957086" w:rsidRDefault="00957086" w:rsidP="00957086">
            <w:pPr>
              <w:textAlignment w:val="baseline"/>
              <w:rPr>
                <w:rFonts w:ascii="Segoe UI" w:eastAsia="Times New Roman" w:hAnsi="Segoe UI" w:cs="Segoe UI"/>
                <w:sz w:val="18"/>
                <w:szCs w:val="18"/>
              </w:rPr>
            </w:pPr>
            <w:r w:rsidRPr="00957086">
              <w:rPr>
                <w:rFonts w:ascii="Calibri" w:eastAsia="Times New Roman" w:hAnsi="Calibri" w:cs="Calibri"/>
                <w:color w:val="FFFFFF"/>
                <w:sz w:val="18"/>
                <w:szCs w:val="18"/>
              </w:rPr>
              <w:t>Deployment Flexibility: </w:t>
            </w:r>
          </w:p>
        </w:tc>
        <w:tc>
          <w:tcPr>
            <w:tcW w:w="3807" w:type="dxa"/>
            <w:tcBorders>
              <w:top w:val="single" w:sz="6" w:space="0" w:color="000000"/>
              <w:left w:val="single" w:sz="6" w:space="0" w:color="000000"/>
              <w:bottom w:val="single" w:sz="6" w:space="0" w:color="000000"/>
              <w:right w:val="single" w:sz="6" w:space="0" w:color="000000"/>
            </w:tcBorders>
            <w:shd w:val="clear" w:color="auto" w:fill="auto"/>
            <w:hideMark/>
          </w:tcPr>
          <w:p w14:paraId="722D55ED" w14:textId="77777777" w:rsidR="00957086" w:rsidRPr="00957086" w:rsidRDefault="00957086" w:rsidP="00636744">
            <w:pPr>
              <w:ind w:left="109" w:right="163"/>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Wi-Fi infrastructure can be easily set up and modified based on specific user requirements. </w:t>
            </w:r>
          </w:p>
        </w:tc>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5046697F" w14:textId="77777777" w:rsidR="00957086" w:rsidRPr="00957086" w:rsidRDefault="00957086" w:rsidP="00636744">
            <w:pPr>
              <w:ind w:left="106" w:right="117"/>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DAS requires a significant upfront investment and careful planning due to the need for extensive cabling and signal distribution systems. </w:t>
            </w:r>
          </w:p>
        </w:tc>
        <w:tc>
          <w:tcPr>
            <w:tcW w:w="4132" w:type="dxa"/>
            <w:tcBorders>
              <w:top w:val="single" w:sz="6" w:space="0" w:color="000000"/>
              <w:left w:val="single" w:sz="6" w:space="0" w:color="000000"/>
              <w:bottom w:val="single" w:sz="6" w:space="0" w:color="000000"/>
              <w:right w:val="single" w:sz="6" w:space="0" w:color="000000"/>
            </w:tcBorders>
            <w:shd w:val="clear" w:color="auto" w:fill="auto"/>
            <w:hideMark/>
          </w:tcPr>
          <w:p w14:paraId="384A057A" w14:textId="77777777" w:rsidR="00957086" w:rsidRPr="00957086" w:rsidRDefault="00957086" w:rsidP="00636744">
            <w:pPr>
              <w:ind w:left="110" w:right="170"/>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Small Cells offer more flexibility than DAS systems due to their smaller size and easier installation process. </w:t>
            </w:r>
          </w:p>
        </w:tc>
      </w:tr>
      <w:tr w:rsidR="00636744" w:rsidRPr="00957086" w14:paraId="2FDC294B" w14:textId="77777777" w:rsidTr="00636744">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2E74B5"/>
            <w:hideMark/>
          </w:tcPr>
          <w:p w14:paraId="2820535A" w14:textId="77777777" w:rsidR="00957086" w:rsidRPr="00957086" w:rsidRDefault="00957086" w:rsidP="00957086">
            <w:pPr>
              <w:textAlignment w:val="baseline"/>
              <w:rPr>
                <w:rFonts w:ascii="Segoe UI" w:eastAsia="Times New Roman" w:hAnsi="Segoe UI" w:cs="Segoe UI"/>
                <w:sz w:val="18"/>
                <w:szCs w:val="18"/>
              </w:rPr>
            </w:pPr>
            <w:r w:rsidRPr="00957086">
              <w:rPr>
                <w:rFonts w:ascii="Calibri" w:eastAsia="Times New Roman" w:hAnsi="Calibri" w:cs="Calibri"/>
                <w:color w:val="FFFFFF"/>
                <w:sz w:val="18"/>
                <w:szCs w:val="18"/>
              </w:rPr>
              <w:t>Additional Notes: </w:t>
            </w:r>
          </w:p>
        </w:tc>
        <w:tc>
          <w:tcPr>
            <w:tcW w:w="3807" w:type="dxa"/>
            <w:tcBorders>
              <w:top w:val="single" w:sz="6" w:space="0" w:color="000000"/>
              <w:left w:val="single" w:sz="6" w:space="0" w:color="000000"/>
              <w:bottom w:val="single" w:sz="6" w:space="0" w:color="000000"/>
              <w:right w:val="single" w:sz="6" w:space="0" w:color="000000"/>
            </w:tcBorders>
            <w:shd w:val="clear" w:color="auto" w:fill="auto"/>
            <w:hideMark/>
          </w:tcPr>
          <w:p w14:paraId="7B2A6A6D" w14:textId="77777777" w:rsidR="00957086" w:rsidRPr="00957086" w:rsidRDefault="00957086" w:rsidP="00636744">
            <w:pPr>
              <w:ind w:left="109" w:right="163"/>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Aruba/Juniper, Meraki, Cisco, Fortinet, etc. are Granite’s most common product Wi-Fi offerings.   </w:t>
            </w:r>
          </w:p>
        </w:tc>
        <w:tc>
          <w:tcPr>
            <w:tcW w:w="4860" w:type="dxa"/>
            <w:tcBorders>
              <w:top w:val="single" w:sz="6" w:space="0" w:color="000000"/>
              <w:left w:val="single" w:sz="6" w:space="0" w:color="000000"/>
              <w:bottom w:val="single" w:sz="6" w:space="0" w:color="000000"/>
              <w:right w:val="single" w:sz="6" w:space="0" w:color="000000"/>
            </w:tcBorders>
            <w:shd w:val="clear" w:color="auto" w:fill="auto"/>
            <w:hideMark/>
          </w:tcPr>
          <w:p w14:paraId="2541C36C" w14:textId="77777777" w:rsidR="00957086" w:rsidRPr="00957086" w:rsidRDefault="00957086" w:rsidP="00636744">
            <w:pPr>
              <w:ind w:left="106" w:right="117"/>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Granite’s Cel-Fi offering fits in the middle of the various DAS solutions: </w:t>
            </w:r>
          </w:p>
          <w:p w14:paraId="66F2C865" w14:textId="77777777" w:rsidR="00957086" w:rsidRPr="00957086" w:rsidRDefault="00957086" w:rsidP="00636744">
            <w:pPr>
              <w:ind w:left="106" w:right="117"/>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 </w:t>
            </w:r>
          </w:p>
          <w:p w14:paraId="0AFEB372" w14:textId="76EC0ED6" w:rsidR="00957086" w:rsidRPr="00957086" w:rsidRDefault="00957086" w:rsidP="00636744">
            <w:pPr>
              <w:ind w:left="106" w:right="117"/>
              <w:jc w:val="both"/>
              <w:textAlignment w:val="baseline"/>
              <w:rPr>
                <w:rFonts w:ascii="Segoe UI" w:eastAsia="Times New Roman" w:hAnsi="Segoe UI" w:cs="Segoe UI"/>
                <w:sz w:val="18"/>
                <w:szCs w:val="18"/>
              </w:rPr>
            </w:pPr>
            <w:r w:rsidRPr="00957086">
              <w:rPr>
                <w:noProof/>
              </w:rPr>
              <w:drawing>
                <wp:inline distT="0" distB="0" distL="0" distR="0" wp14:anchorId="39CECB6B" wp14:editId="5DD95DB0">
                  <wp:extent cx="2613660" cy="628015"/>
                  <wp:effectExtent l="0" t="0" r="0" b="0"/>
                  <wp:docPr id="1719073277" name="Picture 1" descr="A blue cros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073277" name="Picture 1" descr="A blue cross with white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3660" cy="628015"/>
                          </a:xfrm>
                          <a:prstGeom prst="rect">
                            <a:avLst/>
                          </a:prstGeom>
                          <a:noFill/>
                          <a:ln>
                            <a:noFill/>
                          </a:ln>
                        </pic:spPr>
                      </pic:pic>
                    </a:graphicData>
                  </a:graphic>
                </wp:inline>
              </w:drawing>
            </w:r>
            <w:r w:rsidRPr="00957086">
              <w:rPr>
                <w:rFonts w:ascii="Calibri" w:eastAsia="Times New Roman" w:hAnsi="Calibri" w:cs="Calibri"/>
                <w:sz w:val="18"/>
                <w:szCs w:val="18"/>
              </w:rPr>
              <w:t> </w:t>
            </w:r>
          </w:p>
          <w:p w14:paraId="6836CD57" w14:textId="77777777" w:rsidR="00957086" w:rsidRPr="00957086" w:rsidRDefault="00957086" w:rsidP="00636744">
            <w:pPr>
              <w:ind w:left="106" w:right="117"/>
              <w:jc w:val="both"/>
              <w:textAlignment w:val="baseline"/>
              <w:rPr>
                <w:rFonts w:ascii="Segoe UI" w:eastAsia="Times New Roman" w:hAnsi="Segoe UI" w:cs="Segoe UI"/>
                <w:sz w:val="18"/>
                <w:szCs w:val="18"/>
              </w:rPr>
            </w:pPr>
            <w:r w:rsidRPr="00957086">
              <w:rPr>
                <w:rFonts w:ascii="Calibri" w:eastAsia="Times New Roman" w:hAnsi="Calibri" w:cs="Calibri"/>
                <w:i/>
                <w:iCs/>
                <w:sz w:val="18"/>
                <w:szCs w:val="18"/>
              </w:rPr>
              <w:t>See DAS solutions/technology FAQ for additional information</w:t>
            </w:r>
            <w:r w:rsidRPr="00957086">
              <w:rPr>
                <w:rFonts w:ascii="Calibri" w:eastAsia="Times New Roman" w:hAnsi="Calibri" w:cs="Calibri"/>
                <w:sz w:val="18"/>
                <w:szCs w:val="18"/>
              </w:rPr>
              <w:t> </w:t>
            </w:r>
          </w:p>
        </w:tc>
        <w:tc>
          <w:tcPr>
            <w:tcW w:w="4132" w:type="dxa"/>
            <w:tcBorders>
              <w:top w:val="single" w:sz="6" w:space="0" w:color="000000"/>
              <w:left w:val="single" w:sz="6" w:space="0" w:color="000000"/>
              <w:bottom w:val="single" w:sz="6" w:space="0" w:color="000000"/>
              <w:right w:val="single" w:sz="6" w:space="0" w:color="000000"/>
            </w:tcBorders>
            <w:shd w:val="clear" w:color="auto" w:fill="auto"/>
            <w:hideMark/>
          </w:tcPr>
          <w:p w14:paraId="197073E6" w14:textId="77777777" w:rsidR="00957086" w:rsidRPr="00957086" w:rsidRDefault="00957086" w:rsidP="00636744">
            <w:pPr>
              <w:ind w:left="110" w:right="170"/>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Can also connect a Small Cell for Signal Source to a Cel-Fi Solution - When off-air antennas are not the right solution due to size/complexity or distance (like a high-rise building), we can connect the Small Cell to a Cel-Fi Quatra Solution.   </w:t>
            </w:r>
          </w:p>
          <w:p w14:paraId="0A1B0A9C" w14:textId="77777777" w:rsidR="00957086" w:rsidRPr="00957086" w:rsidRDefault="00957086" w:rsidP="00636744">
            <w:pPr>
              <w:ind w:left="110" w:right="170"/>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 </w:t>
            </w:r>
          </w:p>
          <w:p w14:paraId="4A72C429" w14:textId="77777777" w:rsidR="00957086" w:rsidRPr="00957086" w:rsidRDefault="00957086" w:rsidP="00636744">
            <w:pPr>
              <w:ind w:left="110" w:right="170"/>
              <w:jc w:val="both"/>
              <w:textAlignment w:val="baseline"/>
              <w:rPr>
                <w:rFonts w:ascii="Segoe UI" w:eastAsia="Times New Roman" w:hAnsi="Segoe UI" w:cs="Segoe UI"/>
                <w:sz w:val="18"/>
                <w:szCs w:val="18"/>
              </w:rPr>
            </w:pPr>
            <w:r w:rsidRPr="00957086">
              <w:rPr>
                <w:rFonts w:ascii="Calibri" w:eastAsia="Times New Roman" w:hAnsi="Calibri" w:cs="Calibri"/>
                <w:sz w:val="18"/>
                <w:szCs w:val="18"/>
              </w:rPr>
              <w:t>See below for image of both types of installations (Antenna and Small Cell). </w:t>
            </w:r>
          </w:p>
        </w:tc>
      </w:tr>
    </w:tbl>
    <w:p w14:paraId="42C92D9B" w14:textId="1856F778" w:rsidR="00725FA1" w:rsidRDefault="00957086">
      <w:r>
        <w:rPr>
          <w:noProof/>
        </w:rPr>
        <w:lastRenderedPageBreak/>
        <w:drawing>
          <wp:inline distT="0" distB="0" distL="0" distR="0" wp14:anchorId="3C1FDD0D" wp14:editId="459FA3AD">
            <wp:extent cx="5943600" cy="2574925"/>
            <wp:effectExtent l="0" t="0" r="0" b="0"/>
            <wp:docPr id="1486420223" name="Picture 2" descr="A building with a diagram of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20223" name="Picture 2" descr="A building with a diagram of a building&#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574925"/>
                    </a:xfrm>
                    <a:prstGeom prst="rect">
                      <a:avLst/>
                    </a:prstGeom>
                    <a:noFill/>
                    <a:ln>
                      <a:noFill/>
                    </a:ln>
                  </pic:spPr>
                </pic:pic>
              </a:graphicData>
            </a:graphic>
          </wp:inline>
        </w:drawing>
      </w:r>
      <w:r>
        <w:rPr>
          <w:rFonts w:ascii="Calibri" w:hAnsi="Calibri" w:cs="Calibri"/>
          <w:color w:val="000000"/>
          <w:sz w:val="22"/>
          <w:szCs w:val="22"/>
          <w:shd w:val="clear" w:color="auto" w:fill="FFFFFF"/>
        </w:rPr>
        <w:br/>
      </w:r>
    </w:p>
    <w:sectPr w:rsidR="00725FA1" w:rsidSect="0063674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86"/>
    <w:rsid w:val="0002762A"/>
    <w:rsid w:val="00224681"/>
    <w:rsid w:val="00636744"/>
    <w:rsid w:val="00725FA1"/>
    <w:rsid w:val="0095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160DF"/>
  <w15:chartTrackingRefBased/>
  <w15:docId w15:val="{18803307-79A1-4C51-9BDD-0314DED3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62A"/>
  </w:style>
  <w:style w:type="paragraph" w:styleId="Heading1">
    <w:name w:val="heading 1"/>
    <w:basedOn w:val="Normal"/>
    <w:next w:val="Normal"/>
    <w:link w:val="Heading1Char"/>
    <w:uiPriority w:val="9"/>
    <w:qFormat/>
    <w:rsid w:val="0002762A"/>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2762A"/>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outlineLvl w:val="1"/>
    </w:pPr>
    <w:rPr>
      <w:caps/>
      <w:spacing w:val="15"/>
    </w:rPr>
  </w:style>
  <w:style w:type="paragraph" w:styleId="Heading3">
    <w:name w:val="heading 3"/>
    <w:basedOn w:val="Normal"/>
    <w:next w:val="Normal"/>
    <w:link w:val="Heading3Char"/>
    <w:uiPriority w:val="9"/>
    <w:semiHidden/>
    <w:unhideWhenUsed/>
    <w:qFormat/>
    <w:rsid w:val="0002762A"/>
    <w:pPr>
      <w:pBdr>
        <w:top w:val="single" w:sz="6" w:space="2" w:color="4A66AC" w:themeColor="accent1"/>
      </w:pBdr>
      <w:spacing w:before="30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02762A"/>
    <w:pPr>
      <w:pBdr>
        <w:top w:val="dotted" w:sz="6" w:space="2" w:color="4A66AC" w:themeColor="accent1"/>
      </w:pBdr>
      <w:spacing w:before="20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02762A"/>
    <w:pPr>
      <w:pBdr>
        <w:bottom w:val="single" w:sz="6" w:space="1" w:color="4A66AC" w:themeColor="accent1"/>
      </w:pBdr>
      <w:spacing w:before="20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02762A"/>
    <w:pPr>
      <w:pBdr>
        <w:bottom w:val="dotted" w:sz="6" w:space="1" w:color="4A66AC" w:themeColor="accent1"/>
      </w:pBdr>
      <w:spacing w:before="20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02762A"/>
    <w:pPr>
      <w:spacing w:before="20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02762A"/>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02762A"/>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62A"/>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semiHidden/>
    <w:rsid w:val="0002762A"/>
    <w:rPr>
      <w:caps/>
      <w:spacing w:val="15"/>
      <w:shd w:val="clear" w:color="auto" w:fill="D9DFEF" w:themeFill="accent1" w:themeFillTint="33"/>
    </w:rPr>
  </w:style>
  <w:style w:type="character" w:customStyle="1" w:styleId="Heading3Char">
    <w:name w:val="Heading 3 Char"/>
    <w:basedOn w:val="DefaultParagraphFont"/>
    <w:link w:val="Heading3"/>
    <w:uiPriority w:val="9"/>
    <w:semiHidden/>
    <w:rsid w:val="0002762A"/>
    <w:rPr>
      <w:caps/>
      <w:color w:val="243255" w:themeColor="accent1" w:themeShade="7F"/>
      <w:spacing w:val="15"/>
    </w:rPr>
  </w:style>
  <w:style w:type="character" w:customStyle="1" w:styleId="Heading4Char">
    <w:name w:val="Heading 4 Char"/>
    <w:basedOn w:val="DefaultParagraphFont"/>
    <w:link w:val="Heading4"/>
    <w:uiPriority w:val="9"/>
    <w:semiHidden/>
    <w:rsid w:val="0002762A"/>
    <w:rPr>
      <w:caps/>
      <w:color w:val="374C80" w:themeColor="accent1" w:themeShade="BF"/>
      <w:spacing w:val="10"/>
    </w:rPr>
  </w:style>
  <w:style w:type="character" w:customStyle="1" w:styleId="Heading5Char">
    <w:name w:val="Heading 5 Char"/>
    <w:basedOn w:val="DefaultParagraphFont"/>
    <w:link w:val="Heading5"/>
    <w:uiPriority w:val="9"/>
    <w:semiHidden/>
    <w:rsid w:val="0002762A"/>
    <w:rPr>
      <w:caps/>
      <w:color w:val="374C80" w:themeColor="accent1" w:themeShade="BF"/>
      <w:spacing w:val="10"/>
    </w:rPr>
  </w:style>
  <w:style w:type="character" w:customStyle="1" w:styleId="Heading6Char">
    <w:name w:val="Heading 6 Char"/>
    <w:basedOn w:val="DefaultParagraphFont"/>
    <w:link w:val="Heading6"/>
    <w:uiPriority w:val="9"/>
    <w:semiHidden/>
    <w:rsid w:val="0002762A"/>
    <w:rPr>
      <w:caps/>
      <w:color w:val="374C80" w:themeColor="accent1" w:themeShade="BF"/>
      <w:spacing w:val="10"/>
    </w:rPr>
  </w:style>
  <w:style w:type="character" w:customStyle="1" w:styleId="Heading7Char">
    <w:name w:val="Heading 7 Char"/>
    <w:basedOn w:val="DefaultParagraphFont"/>
    <w:link w:val="Heading7"/>
    <w:uiPriority w:val="9"/>
    <w:semiHidden/>
    <w:rsid w:val="0002762A"/>
    <w:rPr>
      <w:caps/>
      <w:color w:val="374C80" w:themeColor="accent1" w:themeShade="BF"/>
      <w:spacing w:val="10"/>
    </w:rPr>
  </w:style>
  <w:style w:type="character" w:customStyle="1" w:styleId="Heading8Char">
    <w:name w:val="Heading 8 Char"/>
    <w:basedOn w:val="DefaultParagraphFont"/>
    <w:link w:val="Heading8"/>
    <w:uiPriority w:val="9"/>
    <w:semiHidden/>
    <w:rsid w:val="0002762A"/>
    <w:rPr>
      <w:caps/>
      <w:spacing w:val="10"/>
      <w:sz w:val="18"/>
      <w:szCs w:val="18"/>
    </w:rPr>
  </w:style>
  <w:style w:type="character" w:customStyle="1" w:styleId="Heading9Char">
    <w:name w:val="Heading 9 Char"/>
    <w:basedOn w:val="DefaultParagraphFont"/>
    <w:link w:val="Heading9"/>
    <w:uiPriority w:val="9"/>
    <w:semiHidden/>
    <w:rsid w:val="0002762A"/>
    <w:rPr>
      <w:i/>
      <w:iCs/>
      <w:caps/>
      <w:spacing w:val="10"/>
      <w:sz w:val="18"/>
      <w:szCs w:val="18"/>
    </w:rPr>
  </w:style>
  <w:style w:type="paragraph" w:styleId="Caption">
    <w:name w:val="caption"/>
    <w:basedOn w:val="Normal"/>
    <w:next w:val="Normal"/>
    <w:uiPriority w:val="35"/>
    <w:semiHidden/>
    <w:unhideWhenUsed/>
    <w:qFormat/>
    <w:rsid w:val="0002762A"/>
    <w:rPr>
      <w:b/>
      <w:bCs/>
      <w:color w:val="374C80" w:themeColor="accent1" w:themeShade="BF"/>
      <w:sz w:val="16"/>
      <w:szCs w:val="16"/>
    </w:rPr>
  </w:style>
  <w:style w:type="paragraph" w:styleId="Title">
    <w:name w:val="Title"/>
    <w:basedOn w:val="Normal"/>
    <w:next w:val="Normal"/>
    <w:link w:val="TitleChar"/>
    <w:uiPriority w:val="10"/>
    <w:qFormat/>
    <w:rsid w:val="0002762A"/>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02762A"/>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02762A"/>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2762A"/>
    <w:rPr>
      <w:caps/>
      <w:color w:val="595959" w:themeColor="text1" w:themeTint="A6"/>
      <w:spacing w:val="10"/>
      <w:sz w:val="21"/>
      <w:szCs w:val="21"/>
    </w:rPr>
  </w:style>
  <w:style w:type="character" w:styleId="Strong">
    <w:name w:val="Strong"/>
    <w:uiPriority w:val="22"/>
    <w:qFormat/>
    <w:rsid w:val="0002762A"/>
    <w:rPr>
      <w:b/>
      <w:bCs/>
    </w:rPr>
  </w:style>
  <w:style w:type="character" w:styleId="Emphasis">
    <w:name w:val="Emphasis"/>
    <w:uiPriority w:val="20"/>
    <w:qFormat/>
    <w:rsid w:val="0002762A"/>
    <w:rPr>
      <w:caps/>
      <w:color w:val="243255" w:themeColor="accent1" w:themeShade="7F"/>
      <w:spacing w:val="5"/>
    </w:rPr>
  </w:style>
  <w:style w:type="paragraph" w:styleId="NoSpacing">
    <w:name w:val="No Spacing"/>
    <w:uiPriority w:val="1"/>
    <w:qFormat/>
    <w:rsid w:val="0002762A"/>
  </w:style>
  <w:style w:type="paragraph" w:styleId="Quote">
    <w:name w:val="Quote"/>
    <w:basedOn w:val="Normal"/>
    <w:next w:val="Normal"/>
    <w:link w:val="QuoteChar"/>
    <w:uiPriority w:val="29"/>
    <w:qFormat/>
    <w:rsid w:val="0002762A"/>
    <w:rPr>
      <w:i/>
      <w:iCs/>
      <w:sz w:val="24"/>
      <w:szCs w:val="24"/>
    </w:rPr>
  </w:style>
  <w:style w:type="character" w:customStyle="1" w:styleId="QuoteChar">
    <w:name w:val="Quote Char"/>
    <w:basedOn w:val="DefaultParagraphFont"/>
    <w:link w:val="Quote"/>
    <w:uiPriority w:val="29"/>
    <w:rsid w:val="0002762A"/>
    <w:rPr>
      <w:i/>
      <w:iCs/>
      <w:sz w:val="24"/>
      <w:szCs w:val="24"/>
    </w:rPr>
  </w:style>
  <w:style w:type="paragraph" w:styleId="IntenseQuote">
    <w:name w:val="Intense Quote"/>
    <w:basedOn w:val="Normal"/>
    <w:next w:val="Normal"/>
    <w:link w:val="IntenseQuoteChar"/>
    <w:uiPriority w:val="30"/>
    <w:qFormat/>
    <w:rsid w:val="0002762A"/>
    <w:pPr>
      <w:spacing w:before="240" w:after="240"/>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02762A"/>
    <w:rPr>
      <w:color w:val="4A66AC" w:themeColor="accent1"/>
      <w:sz w:val="24"/>
      <w:szCs w:val="24"/>
    </w:rPr>
  </w:style>
  <w:style w:type="character" w:styleId="SubtleEmphasis">
    <w:name w:val="Subtle Emphasis"/>
    <w:uiPriority w:val="19"/>
    <w:qFormat/>
    <w:rsid w:val="0002762A"/>
    <w:rPr>
      <w:i/>
      <w:iCs/>
      <w:color w:val="243255" w:themeColor="accent1" w:themeShade="7F"/>
    </w:rPr>
  </w:style>
  <w:style w:type="character" w:styleId="IntenseEmphasis">
    <w:name w:val="Intense Emphasis"/>
    <w:uiPriority w:val="21"/>
    <w:qFormat/>
    <w:rsid w:val="0002762A"/>
    <w:rPr>
      <w:b/>
      <w:bCs/>
      <w:caps/>
      <w:color w:val="243255" w:themeColor="accent1" w:themeShade="7F"/>
      <w:spacing w:val="10"/>
    </w:rPr>
  </w:style>
  <w:style w:type="character" w:styleId="SubtleReference">
    <w:name w:val="Subtle Reference"/>
    <w:uiPriority w:val="31"/>
    <w:qFormat/>
    <w:rsid w:val="0002762A"/>
    <w:rPr>
      <w:b/>
      <w:bCs/>
      <w:color w:val="4A66AC" w:themeColor="accent1"/>
    </w:rPr>
  </w:style>
  <w:style w:type="character" w:styleId="IntenseReference">
    <w:name w:val="Intense Reference"/>
    <w:uiPriority w:val="32"/>
    <w:qFormat/>
    <w:rsid w:val="0002762A"/>
    <w:rPr>
      <w:b/>
      <w:bCs/>
      <w:i/>
      <w:iCs/>
      <w:caps/>
      <w:color w:val="4A66AC" w:themeColor="accent1"/>
    </w:rPr>
  </w:style>
  <w:style w:type="character" w:styleId="BookTitle">
    <w:name w:val="Book Title"/>
    <w:uiPriority w:val="33"/>
    <w:qFormat/>
    <w:rsid w:val="0002762A"/>
    <w:rPr>
      <w:b/>
      <w:bCs/>
      <w:i/>
      <w:iCs/>
      <w:spacing w:val="0"/>
    </w:rPr>
  </w:style>
  <w:style w:type="paragraph" w:styleId="TOCHeading">
    <w:name w:val="TOC Heading"/>
    <w:basedOn w:val="Heading1"/>
    <w:next w:val="Normal"/>
    <w:uiPriority w:val="39"/>
    <w:semiHidden/>
    <w:unhideWhenUsed/>
    <w:qFormat/>
    <w:rsid w:val="0002762A"/>
    <w:pPr>
      <w:outlineLvl w:val="9"/>
    </w:pPr>
  </w:style>
  <w:style w:type="paragraph" w:customStyle="1" w:styleId="paragraph">
    <w:name w:val="paragraph"/>
    <w:basedOn w:val="Normal"/>
    <w:rsid w:val="0095708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957086"/>
  </w:style>
  <w:style w:type="character" w:customStyle="1" w:styleId="eop">
    <w:name w:val="eop"/>
    <w:basedOn w:val="DefaultParagraphFont"/>
    <w:rsid w:val="00957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455">
      <w:bodyDiv w:val="1"/>
      <w:marLeft w:val="0"/>
      <w:marRight w:val="0"/>
      <w:marTop w:val="0"/>
      <w:marBottom w:val="0"/>
      <w:divBdr>
        <w:top w:val="none" w:sz="0" w:space="0" w:color="auto"/>
        <w:left w:val="none" w:sz="0" w:space="0" w:color="auto"/>
        <w:bottom w:val="none" w:sz="0" w:space="0" w:color="auto"/>
        <w:right w:val="none" w:sz="0" w:space="0" w:color="auto"/>
      </w:divBdr>
      <w:divsChild>
        <w:div w:id="449784491">
          <w:marLeft w:val="0"/>
          <w:marRight w:val="0"/>
          <w:marTop w:val="0"/>
          <w:marBottom w:val="0"/>
          <w:divBdr>
            <w:top w:val="none" w:sz="0" w:space="0" w:color="auto"/>
            <w:left w:val="none" w:sz="0" w:space="0" w:color="auto"/>
            <w:bottom w:val="none" w:sz="0" w:space="0" w:color="auto"/>
            <w:right w:val="none" w:sz="0" w:space="0" w:color="auto"/>
          </w:divBdr>
          <w:divsChild>
            <w:div w:id="1973637406">
              <w:marLeft w:val="0"/>
              <w:marRight w:val="0"/>
              <w:marTop w:val="0"/>
              <w:marBottom w:val="0"/>
              <w:divBdr>
                <w:top w:val="none" w:sz="0" w:space="0" w:color="auto"/>
                <w:left w:val="none" w:sz="0" w:space="0" w:color="auto"/>
                <w:bottom w:val="none" w:sz="0" w:space="0" w:color="auto"/>
                <w:right w:val="none" w:sz="0" w:space="0" w:color="auto"/>
              </w:divBdr>
            </w:div>
          </w:divsChild>
        </w:div>
        <w:div w:id="1223563891">
          <w:marLeft w:val="0"/>
          <w:marRight w:val="0"/>
          <w:marTop w:val="0"/>
          <w:marBottom w:val="0"/>
          <w:divBdr>
            <w:top w:val="none" w:sz="0" w:space="0" w:color="auto"/>
            <w:left w:val="none" w:sz="0" w:space="0" w:color="auto"/>
            <w:bottom w:val="none" w:sz="0" w:space="0" w:color="auto"/>
            <w:right w:val="none" w:sz="0" w:space="0" w:color="auto"/>
          </w:divBdr>
          <w:divsChild>
            <w:div w:id="1812988500">
              <w:marLeft w:val="0"/>
              <w:marRight w:val="0"/>
              <w:marTop w:val="0"/>
              <w:marBottom w:val="0"/>
              <w:divBdr>
                <w:top w:val="none" w:sz="0" w:space="0" w:color="auto"/>
                <w:left w:val="none" w:sz="0" w:space="0" w:color="auto"/>
                <w:bottom w:val="none" w:sz="0" w:space="0" w:color="auto"/>
                <w:right w:val="none" w:sz="0" w:space="0" w:color="auto"/>
              </w:divBdr>
            </w:div>
          </w:divsChild>
        </w:div>
        <w:div w:id="1456800121">
          <w:marLeft w:val="0"/>
          <w:marRight w:val="0"/>
          <w:marTop w:val="0"/>
          <w:marBottom w:val="0"/>
          <w:divBdr>
            <w:top w:val="none" w:sz="0" w:space="0" w:color="auto"/>
            <w:left w:val="none" w:sz="0" w:space="0" w:color="auto"/>
            <w:bottom w:val="none" w:sz="0" w:space="0" w:color="auto"/>
            <w:right w:val="none" w:sz="0" w:space="0" w:color="auto"/>
          </w:divBdr>
          <w:divsChild>
            <w:div w:id="894659841">
              <w:marLeft w:val="0"/>
              <w:marRight w:val="0"/>
              <w:marTop w:val="0"/>
              <w:marBottom w:val="0"/>
              <w:divBdr>
                <w:top w:val="none" w:sz="0" w:space="0" w:color="auto"/>
                <w:left w:val="none" w:sz="0" w:space="0" w:color="auto"/>
                <w:bottom w:val="none" w:sz="0" w:space="0" w:color="auto"/>
                <w:right w:val="none" w:sz="0" w:space="0" w:color="auto"/>
              </w:divBdr>
            </w:div>
          </w:divsChild>
        </w:div>
        <w:div w:id="1657875008">
          <w:marLeft w:val="0"/>
          <w:marRight w:val="0"/>
          <w:marTop w:val="0"/>
          <w:marBottom w:val="0"/>
          <w:divBdr>
            <w:top w:val="none" w:sz="0" w:space="0" w:color="auto"/>
            <w:left w:val="none" w:sz="0" w:space="0" w:color="auto"/>
            <w:bottom w:val="none" w:sz="0" w:space="0" w:color="auto"/>
            <w:right w:val="none" w:sz="0" w:space="0" w:color="auto"/>
          </w:divBdr>
          <w:divsChild>
            <w:div w:id="2088110156">
              <w:marLeft w:val="0"/>
              <w:marRight w:val="0"/>
              <w:marTop w:val="0"/>
              <w:marBottom w:val="0"/>
              <w:divBdr>
                <w:top w:val="none" w:sz="0" w:space="0" w:color="auto"/>
                <w:left w:val="none" w:sz="0" w:space="0" w:color="auto"/>
                <w:bottom w:val="none" w:sz="0" w:space="0" w:color="auto"/>
                <w:right w:val="none" w:sz="0" w:space="0" w:color="auto"/>
              </w:divBdr>
            </w:div>
          </w:divsChild>
        </w:div>
        <w:div w:id="1517844479">
          <w:marLeft w:val="0"/>
          <w:marRight w:val="0"/>
          <w:marTop w:val="0"/>
          <w:marBottom w:val="0"/>
          <w:divBdr>
            <w:top w:val="none" w:sz="0" w:space="0" w:color="auto"/>
            <w:left w:val="none" w:sz="0" w:space="0" w:color="auto"/>
            <w:bottom w:val="none" w:sz="0" w:space="0" w:color="auto"/>
            <w:right w:val="none" w:sz="0" w:space="0" w:color="auto"/>
          </w:divBdr>
          <w:divsChild>
            <w:div w:id="1890218354">
              <w:marLeft w:val="0"/>
              <w:marRight w:val="0"/>
              <w:marTop w:val="0"/>
              <w:marBottom w:val="0"/>
              <w:divBdr>
                <w:top w:val="none" w:sz="0" w:space="0" w:color="auto"/>
                <w:left w:val="none" w:sz="0" w:space="0" w:color="auto"/>
                <w:bottom w:val="none" w:sz="0" w:space="0" w:color="auto"/>
                <w:right w:val="none" w:sz="0" w:space="0" w:color="auto"/>
              </w:divBdr>
            </w:div>
          </w:divsChild>
        </w:div>
        <w:div w:id="992834189">
          <w:marLeft w:val="0"/>
          <w:marRight w:val="0"/>
          <w:marTop w:val="0"/>
          <w:marBottom w:val="0"/>
          <w:divBdr>
            <w:top w:val="none" w:sz="0" w:space="0" w:color="auto"/>
            <w:left w:val="none" w:sz="0" w:space="0" w:color="auto"/>
            <w:bottom w:val="none" w:sz="0" w:space="0" w:color="auto"/>
            <w:right w:val="none" w:sz="0" w:space="0" w:color="auto"/>
          </w:divBdr>
          <w:divsChild>
            <w:div w:id="191963693">
              <w:marLeft w:val="0"/>
              <w:marRight w:val="0"/>
              <w:marTop w:val="0"/>
              <w:marBottom w:val="0"/>
              <w:divBdr>
                <w:top w:val="none" w:sz="0" w:space="0" w:color="auto"/>
                <w:left w:val="none" w:sz="0" w:space="0" w:color="auto"/>
                <w:bottom w:val="none" w:sz="0" w:space="0" w:color="auto"/>
                <w:right w:val="none" w:sz="0" w:space="0" w:color="auto"/>
              </w:divBdr>
            </w:div>
          </w:divsChild>
        </w:div>
        <w:div w:id="387192146">
          <w:marLeft w:val="0"/>
          <w:marRight w:val="0"/>
          <w:marTop w:val="0"/>
          <w:marBottom w:val="0"/>
          <w:divBdr>
            <w:top w:val="none" w:sz="0" w:space="0" w:color="auto"/>
            <w:left w:val="none" w:sz="0" w:space="0" w:color="auto"/>
            <w:bottom w:val="none" w:sz="0" w:space="0" w:color="auto"/>
            <w:right w:val="none" w:sz="0" w:space="0" w:color="auto"/>
          </w:divBdr>
          <w:divsChild>
            <w:div w:id="1211452445">
              <w:marLeft w:val="0"/>
              <w:marRight w:val="0"/>
              <w:marTop w:val="0"/>
              <w:marBottom w:val="0"/>
              <w:divBdr>
                <w:top w:val="none" w:sz="0" w:space="0" w:color="auto"/>
                <w:left w:val="none" w:sz="0" w:space="0" w:color="auto"/>
                <w:bottom w:val="none" w:sz="0" w:space="0" w:color="auto"/>
                <w:right w:val="none" w:sz="0" w:space="0" w:color="auto"/>
              </w:divBdr>
            </w:div>
          </w:divsChild>
        </w:div>
        <w:div w:id="204027632">
          <w:marLeft w:val="0"/>
          <w:marRight w:val="0"/>
          <w:marTop w:val="0"/>
          <w:marBottom w:val="0"/>
          <w:divBdr>
            <w:top w:val="none" w:sz="0" w:space="0" w:color="auto"/>
            <w:left w:val="none" w:sz="0" w:space="0" w:color="auto"/>
            <w:bottom w:val="none" w:sz="0" w:space="0" w:color="auto"/>
            <w:right w:val="none" w:sz="0" w:space="0" w:color="auto"/>
          </w:divBdr>
          <w:divsChild>
            <w:div w:id="2141796903">
              <w:marLeft w:val="0"/>
              <w:marRight w:val="0"/>
              <w:marTop w:val="0"/>
              <w:marBottom w:val="0"/>
              <w:divBdr>
                <w:top w:val="none" w:sz="0" w:space="0" w:color="auto"/>
                <w:left w:val="none" w:sz="0" w:space="0" w:color="auto"/>
                <w:bottom w:val="none" w:sz="0" w:space="0" w:color="auto"/>
                <w:right w:val="none" w:sz="0" w:space="0" w:color="auto"/>
              </w:divBdr>
            </w:div>
          </w:divsChild>
        </w:div>
        <w:div w:id="435296320">
          <w:marLeft w:val="0"/>
          <w:marRight w:val="0"/>
          <w:marTop w:val="0"/>
          <w:marBottom w:val="0"/>
          <w:divBdr>
            <w:top w:val="none" w:sz="0" w:space="0" w:color="auto"/>
            <w:left w:val="none" w:sz="0" w:space="0" w:color="auto"/>
            <w:bottom w:val="none" w:sz="0" w:space="0" w:color="auto"/>
            <w:right w:val="none" w:sz="0" w:space="0" w:color="auto"/>
          </w:divBdr>
          <w:divsChild>
            <w:div w:id="683702771">
              <w:marLeft w:val="0"/>
              <w:marRight w:val="0"/>
              <w:marTop w:val="0"/>
              <w:marBottom w:val="0"/>
              <w:divBdr>
                <w:top w:val="none" w:sz="0" w:space="0" w:color="auto"/>
                <w:left w:val="none" w:sz="0" w:space="0" w:color="auto"/>
                <w:bottom w:val="none" w:sz="0" w:space="0" w:color="auto"/>
                <w:right w:val="none" w:sz="0" w:space="0" w:color="auto"/>
              </w:divBdr>
            </w:div>
          </w:divsChild>
        </w:div>
        <w:div w:id="1004042945">
          <w:marLeft w:val="0"/>
          <w:marRight w:val="0"/>
          <w:marTop w:val="0"/>
          <w:marBottom w:val="0"/>
          <w:divBdr>
            <w:top w:val="none" w:sz="0" w:space="0" w:color="auto"/>
            <w:left w:val="none" w:sz="0" w:space="0" w:color="auto"/>
            <w:bottom w:val="none" w:sz="0" w:space="0" w:color="auto"/>
            <w:right w:val="none" w:sz="0" w:space="0" w:color="auto"/>
          </w:divBdr>
          <w:divsChild>
            <w:div w:id="1638300358">
              <w:marLeft w:val="0"/>
              <w:marRight w:val="0"/>
              <w:marTop w:val="0"/>
              <w:marBottom w:val="0"/>
              <w:divBdr>
                <w:top w:val="none" w:sz="0" w:space="0" w:color="auto"/>
                <w:left w:val="none" w:sz="0" w:space="0" w:color="auto"/>
                <w:bottom w:val="none" w:sz="0" w:space="0" w:color="auto"/>
                <w:right w:val="none" w:sz="0" w:space="0" w:color="auto"/>
              </w:divBdr>
            </w:div>
            <w:div w:id="952714553">
              <w:marLeft w:val="0"/>
              <w:marRight w:val="0"/>
              <w:marTop w:val="0"/>
              <w:marBottom w:val="0"/>
              <w:divBdr>
                <w:top w:val="none" w:sz="0" w:space="0" w:color="auto"/>
                <w:left w:val="none" w:sz="0" w:space="0" w:color="auto"/>
                <w:bottom w:val="none" w:sz="0" w:space="0" w:color="auto"/>
                <w:right w:val="none" w:sz="0" w:space="0" w:color="auto"/>
              </w:divBdr>
            </w:div>
          </w:divsChild>
        </w:div>
        <w:div w:id="221215325">
          <w:marLeft w:val="0"/>
          <w:marRight w:val="0"/>
          <w:marTop w:val="0"/>
          <w:marBottom w:val="0"/>
          <w:divBdr>
            <w:top w:val="none" w:sz="0" w:space="0" w:color="auto"/>
            <w:left w:val="none" w:sz="0" w:space="0" w:color="auto"/>
            <w:bottom w:val="none" w:sz="0" w:space="0" w:color="auto"/>
            <w:right w:val="none" w:sz="0" w:space="0" w:color="auto"/>
          </w:divBdr>
          <w:divsChild>
            <w:div w:id="1606304272">
              <w:marLeft w:val="0"/>
              <w:marRight w:val="0"/>
              <w:marTop w:val="0"/>
              <w:marBottom w:val="0"/>
              <w:divBdr>
                <w:top w:val="none" w:sz="0" w:space="0" w:color="auto"/>
                <w:left w:val="none" w:sz="0" w:space="0" w:color="auto"/>
                <w:bottom w:val="none" w:sz="0" w:space="0" w:color="auto"/>
                <w:right w:val="none" w:sz="0" w:space="0" w:color="auto"/>
              </w:divBdr>
            </w:div>
          </w:divsChild>
        </w:div>
        <w:div w:id="660889449">
          <w:marLeft w:val="0"/>
          <w:marRight w:val="0"/>
          <w:marTop w:val="0"/>
          <w:marBottom w:val="0"/>
          <w:divBdr>
            <w:top w:val="none" w:sz="0" w:space="0" w:color="auto"/>
            <w:left w:val="none" w:sz="0" w:space="0" w:color="auto"/>
            <w:bottom w:val="none" w:sz="0" w:space="0" w:color="auto"/>
            <w:right w:val="none" w:sz="0" w:space="0" w:color="auto"/>
          </w:divBdr>
          <w:divsChild>
            <w:div w:id="1939946241">
              <w:marLeft w:val="0"/>
              <w:marRight w:val="0"/>
              <w:marTop w:val="0"/>
              <w:marBottom w:val="0"/>
              <w:divBdr>
                <w:top w:val="none" w:sz="0" w:space="0" w:color="auto"/>
                <w:left w:val="none" w:sz="0" w:space="0" w:color="auto"/>
                <w:bottom w:val="none" w:sz="0" w:space="0" w:color="auto"/>
                <w:right w:val="none" w:sz="0" w:space="0" w:color="auto"/>
              </w:divBdr>
            </w:div>
          </w:divsChild>
        </w:div>
        <w:div w:id="252587621">
          <w:marLeft w:val="0"/>
          <w:marRight w:val="0"/>
          <w:marTop w:val="0"/>
          <w:marBottom w:val="0"/>
          <w:divBdr>
            <w:top w:val="none" w:sz="0" w:space="0" w:color="auto"/>
            <w:left w:val="none" w:sz="0" w:space="0" w:color="auto"/>
            <w:bottom w:val="none" w:sz="0" w:space="0" w:color="auto"/>
            <w:right w:val="none" w:sz="0" w:space="0" w:color="auto"/>
          </w:divBdr>
          <w:divsChild>
            <w:div w:id="1420447259">
              <w:marLeft w:val="0"/>
              <w:marRight w:val="0"/>
              <w:marTop w:val="0"/>
              <w:marBottom w:val="0"/>
              <w:divBdr>
                <w:top w:val="none" w:sz="0" w:space="0" w:color="auto"/>
                <w:left w:val="none" w:sz="0" w:space="0" w:color="auto"/>
                <w:bottom w:val="none" w:sz="0" w:space="0" w:color="auto"/>
                <w:right w:val="none" w:sz="0" w:space="0" w:color="auto"/>
              </w:divBdr>
            </w:div>
          </w:divsChild>
        </w:div>
        <w:div w:id="101655616">
          <w:marLeft w:val="0"/>
          <w:marRight w:val="0"/>
          <w:marTop w:val="0"/>
          <w:marBottom w:val="0"/>
          <w:divBdr>
            <w:top w:val="none" w:sz="0" w:space="0" w:color="auto"/>
            <w:left w:val="none" w:sz="0" w:space="0" w:color="auto"/>
            <w:bottom w:val="none" w:sz="0" w:space="0" w:color="auto"/>
            <w:right w:val="none" w:sz="0" w:space="0" w:color="auto"/>
          </w:divBdr>
          <w:divsChild>
            <w:div w:id="1684473326">
              <w:marLeft w:val="0"/>
              <w:marRight w:val="0"/>
              <w:marTop w:val="0"/>
              <w:marBottom w:val="0"/>
              <w:divBdr>
                <w:top w:val="none" w:sz="0" w:space="0" w:color="auto"/>
                <w:left w:val="none" w:sz="0" w:space="0" w:color="auto"/>
                <w:bottom w:val="none" w:sz="0" w:space="0" w:color="auto"/>
                <w:right w:val="none" w:sz="0" w:space="0" w:color="auto"/>
              </w:divBdr>
            </w:div>
          </w:divsChild>
        </w:div>
        <w:div w:id="1236085721">
          <w:marLeft w:val="0"/>
          <w:marRight w:val="0"/>
          <w:marTop w:val="0"/>
          <w:marBottom w:val="0"/>
          <w:divBdr>
            <w:top w:val="none" w:sz="0" w:space="0" w:color="auto"/>
            <w:left w:val="none" w:sz="0" w:space="0" w:color="auto"/>
            <w:bottom w:val="none" w:sz="0" w:space="0" w:color="auto"/>
            <w:right w:val="none" w:sz="0" w:space="0" w:color="auto"/>
          </w:divBdr>
          <w:divsChild>
            <w:div w:id="1022821668">
              <w:marLeft w:val="0"/>
              <w:marRight w:val="0"/>
              <w:marTop w:val="0"/>
              <w:marBottom w:val="0"/>
              <w:divBdr>
                <w:top w:val="none" w:sz="0" w:space="0" w:color="auto"/>
                <w:left w:val="none" w:sz="0" w:space="0" w:color="auto"/>
                <w:bottom w:val="none" w:sz="0" w:space="0" w:color="auto"/>
                <w:right w:val="none" w:sz="0" w:space="0" w:color="auto"/>
              </w:divBdr>
            </w:div>
          </w:divsChild>
        </w:div>
        <w:div w:id="1864246646">
          <w:marLeft w:val="0"/>
          <w:marRight w:val="0"/>
          <w:marTop w:val="0"/>
          <w:marBottom w:val="0"/>
          <w:divBdr>
            <w:top w:val="none" w:sz="0" w:space="0" w:color="auto"/>
            <w:left w:val="none" w:sz="0" w:space="0" w:color="auto"/>
            <w:bottom w:val="none" w:sz="0" w:space="0" w:color="auto"/>
            <w:right w:val="none" w:sz="0" w:space="0" w:color="auto"/>
          </w:divBdr>
          <w:divsChild>
            <w:div w:id="681400142">
              <w:marLeft w:val="0"/>
              <w:marRight w:val="0"/>
              <w:marTop w:val="0"/>
              <w:marBottom w:val="0"/>
              <w:divBdr>
                <w:top w:val="none" w:sz="0" w:space="0" w:color="auto"/>
                <w:left w:val="none" w:sz="0" w:space="0" w:color="auto"/>
                <w:bottom w:val="none" w:sz="0" w:space="0" w:color="auto"/>
                <w:right w:val="none" w:sz="0" w:space="0" w:color="auto"/>
              </w:divBdr>
            </w:div>
          </w:divsChild>
        </w:div>
        <w:div w:id="597373837">
          <w:marLeft w:val="0"/>
          <w:marRight w:val="0"/>
          <w:marTop w:val="0"/>
          <w:marBottom w:val="0"/>
          <w:divBdr>
            <w:top w:val="none" w:sz="0" w:space="0" w:color="auto"/>
            <w:left w:val="none" w:sz="0" w:space="0" w:color="auto"/>
            <w:bottom w:val="none" w:sz="0" w:space="0" w:color="auto"/>
            <w:right w:val="none" w:sz="0" w:space="0" w:color="auto"/>
          </w:divBdr>
          <w:divsChild>
            <w:div w:id="969671017">
              <w:marLeft w:val="0"/>
              <w:marRight w:val="0"/>
              <w:marTop w:val="0"/>
              <w:marBottom w:val="0"/>
              <w:divBdr>
                <w:top w:val="none" w:sz="0" w:space="0" w:color="auto"/>
                <w:left w:val="none" w:sz="0" w:space="0" w:color="auto"/>
                <w:bottom w:val="none" w:sz="0" w:space="0" w:color="auto"/>
                <w:right w:val="none" w:sz="0" w:space="0" w:color="auto"/>
              </w:divBdr>
            </w:div>
          </w:divsChild>
        </w:div>
        <w:div w:id="1189368965">
          <w:marLeft w:val="0"/>
          <w:marRight w:val="0"/>
          <w:marTop w:val="0"/>
          <w:marBottom w:val="0"/>
          <w:divBdr>
            <w:top w:val="none" w:sz="0" w:space="0" w:color="auto"/>
            <w:left w:val="none" w:sz="0" w:space="0" w:color="auto"/>
            <w:bottom w:val="none" w:sz="0" w:space="0" w:color="auto"/>
            <w:right w:val="none" w:sz="0" w:space="0" w:color="auto"/>
          </w:divBdr>
          <w:divsChild>
            <w:div w:id="1065377303">
              <w:marLeft w:val="0"/>
              <w:marRight w:val="0"/>
              <w:marTop w:val="0"/>
              <w:marBottom w:val="0"/>
              <w:divBdr>
                <w:top w:val="none" w:sz="0" w:space="0" w:color="auto"/>
                <w:left w:val="none" w:sz="0" w:space="0" w:color="auto"/>
                <w:bottom w:val="none" w:sz="0" w:space="0" w:color="auto"/>
                <w:right w:val="none" w:sz="0" w:space="0" w:color="auto"/>
              </w:divBdr>
            </w:div>
          </w:divsChild>
        </w:div>
        <w:div w:id="1272668059">
          <w:marLeft w:val="0"/>
          <w:marRight w:val="0"/>
          <w:marTop w:val="0"/>
          <w:marBottom w:val="0"/>
          <w:divBdr>
            <w:top w:val="none" w:sz="0" w:space="0" w:color="auto"/>
            <w:left w:val="none" w:sz="0" w:space="0" w:color="auto"/>
            <w:bottom w:val="none" w:sz="0" w:space="0" w:color="auto"/>
            <w:right w:val="none" w:sz="0" w:space="0" w:color="auto"/>
          </w:divBdr>
          <w:divsChild>
            <w:div w:id="549002624">
              <w:marLeft w:val="0"/>
              <w:marRight w:val="0"/>
              <w:marTop w:val="0"/>
              <w:marBottom w:val="0"/>
              <w:divBdr>
                <w:top w:val="none" w:sz="0" w:space="0" w:color="auto"/>
                <w:left w:val="none" w:sz="0" w:space="0" w:color="auto"/>
                <w:bottom w:val="none" w:sz="0" w:space="0" w:color="auto"/>
                <w:right w:val="none" w:sz="0" w:space="0" w:color="auto"/>
              </w:divBdr>
            </w:div>
          </w:divsChild>
        </w:div>
        <w:div w:id="688483444">
          <w:marLeft w:val="0"/>
          <w:marRight w:val="0"/>
          <w:marTop w:val="0"/>
          <w:marBottom w:val="0"/>
          <w:divBdr>
            <w:top w:val="none" w:sz="0" w:space="0" w:color="auto"/>
            <w:left w:val="none" w:sz="0" w:space="0" w:color="auto"/>
            <w:bottom w:val="none" w:sz="0" w:space="0" w:color="auto"/>
            <w:right w:val="none" w:sz="0" w:space="0" w:color="auto"/>
          </w:divBdr>
          <w:divsChild>
            <w:div w:id="1324360754">
              <w:marLeft w:val="0"/>
              <w:marRight w:val="0"/>
              <w:marTop w:val="0"/>
              <w:marBottom w:val="0"/>
              <w:divBdr>
                <w:top w:val="none" w:sz="0" w:space="0" w:color="auto"/>
                <w:left w:val="none" w:sz="0" w:space="0" w:color="auto"/>
                <w:bottom w:val="none" w:sz="0" w:space="0" w:color="auto"/>
                <w:right w:val="none" w:sz="0" w:space="0" w:color="auto"/>
              </w:divBdr>
            </w:div>
          </w:divsChild>
        </w:div>
        <w:div w:id="695471967">
          <w:marLeft w:val="0"/>
          <w:marRight w:val="0"/>
          <w:marTop w:val="0"/>
          <w:marBottom w:val="0"/>
          <w:divBdr>
            <w:top w:val="none" w:sz="0" w:space="0" w:color="auto"/>
            <w:left w:val="none" w:sz="0" w:space="0" w:color="auto"/>
            <w:bottom w:val="none" w:sz="0" w:space="0" w:color="auto"/>
            <w:right w:val="none" w:sz="0" w:space="0" w:color="auto"/>
          </w:divBdr>
          <w:divsChild>
            <w:div w:id="1083067668">
              <w:marLeft w:val="0"/>
              <w:marRight w:val="0"/>
              <w:marTop w:val="0"/>
              <w:marBottom w:val="0"/>
              <w:divBdr>
                <w:top w:val="none" w:sz="0" w:space="0" w:color="auto"/>
                <w:left w:val="none" w:sz="0" w:space="0" w:color="auto"/>
                <w:bottom w:val="none" w:sz="0" w:space="0" w:color="auto"/>
                <w:right w:val="none" w:sz="0" w:space="0" w:color="auto"/>
              </w:divBdr>
            </w:div>
          </w:divsChild>
        </w:div>
        <w:div w:id="1157187710">
          <w:marLeft w:val="0"/>
          <w:marRight w:val="0"/>
          <w:marTop w:val="0"/>
          <w:marBottom w:val="0"/>
          <w:divBdr>
            <w:top w:val="none" w:sz="0" w:space="0" w:color="auto"/>
            <w:left w:val="none" w:sz="0" w:space="0" w:color="auto"/>
            <w:bottom w:val="none" w:sz="0" w:space="0" w:color="auto"/>
            <w:right w:val="none" w:sz="0" w:space="0" w:color="auto"/>
          </w:divBdr>
          <w:divsChild>
            <w:div w:id="922567880">
              <w:marLeft w:val="0"/>
              <w:marRight w:val="0"/>
              <w:marTop w:val="0"/>
              <w:marBottom w:val="0"/>
              <w:divBdr>
                <w:top w:val="none" w:sz="0" w:space="0" w:color="auto"/>
                <w:left w:val="none" w:sz="0" w:space="0" w:color="auto"/>
                <w:bottom w:val="none" w:sz="0" w:space="0" w:color="auto"/>
                <w:right w:val="none" w:sz="0" w:space="0" w:color="auto"/>
              </w:divBdr>
            </w:div>
          </w:divsChild>
        </w:div>
        <w:div w:id="906457988">
          <w:marLeft w:val="0"/>
          <w:marRight w:val="0"/>
          <w:marTop w:val="0"/>
          <w:marBottom w:val="0"/>
          <w:divBdr>
            <w:top w:val="none" w:sz="0" w:space="0" w:color="auto"/>
            <w:left w:val="none" w:sz="0" w:space="0" w:color="auto"/>
            <w:bottom w:val="none" w:sz="0" w:space="0" w:color="auto"/>
            <w:right w:val="none" w:sz="0" w:space="0" w:color="auto"/>
          </w:divBdr>
          <w:divsChild>
            <w:div w:id="354354394">
              <w:marLeft w:val="0"/>
              <w:marRight w:val="0"/>
              <w:marTop w:val="0"/>
              <w:marBottom w:val="0"/>
              <w:divBdr>
                <w:top w:val="none" w:sz="0" w:space="0" w:color="auto"/>
                <w:left w:val="none" w:sz="0" w:space="0" w:color="auto"/>
                <w:bottom w:val="none" w:sz="0" w:space="0" w:color="auto"/>
                <w:right w:val="none" w:sz="0" w:space="0" w:color="auto"/>
              </w:divBdr>
            </w:div>
          </w:divsChild>
        </w:div>
        <w:div w:id="772557053">
          <w:marLeft w:val="0"/>
          <w:marRight w:val="0"/>
          <w:marTop w:val="0"/>
          <w:marBottom w:val="0"/>
          <w:divBdr>
            <w:top w:val="none" w:sz="0" w:space="0" w:color="auto"/>
            <w:left w:val="none" w:sz="0" w:space="0" w:color="auto"/>
            <w:bottom w:val="none" w:sz="0" w:space="0" w:color="auto"/>
            <w:right w:val="none" w:sz="0" w:space="0" w:color="auto"/>
          </w:divBdr>
          <w:divsChild>
            <w:div w:id="1185243304">
              <w:marLeft w:val="0"/>
              <w:marRight w:val="0"/>
              <w:marTop w:val="0"/>
              <w:marBottom w:val="0"/>
              <w:divBdr>
                <w:top w:val="none" w:sz="0" w:space="0" w:color="auto"/>
                <w:left w:val="none" w:sz="0" w:space="0" w:color="auto"/>
                <w:bottom w:val="none" w:sz="0" w:space="0" w:color="auto"/>
                <w:right w:val="none" w:sz="0" w:space="0" w:color="auto"/>
              </w:divBdr>
            </w:div>
          </w:divsChild>
        </w:div>
        <w:div w:id="1252156274">
          <w:marLeft w:val="0"/>
          <w:marRight w:val="0"/>
          <w:marTop w:val="0"/>
          <w:marBottom w:val="0"/>
          <w:divBdr>
            <w:top w:val="none" w:sz="0" w:space="0" w:color="auto"/>
            <w:left w:val="none" w:sz="0" w:space="0" w:color="auto"/>
            <w:bottom w:val="none" w:sz="0" w:space="0" w:color="auto"/>
            <w:right w:val="none" w:sz="0" w:space="0" w:color="auto"/>
          </w:divBdr>
          <w:divsChild>
            <w:div w:id="549922937">
              <w:marLeft w:val="0"/>
              <w:marRight w:val="0"/>
              <w:marTop w:val="0"/>
              <w:marBottom w:val="0"/>
              <w:divBdr>
                <w:top w:val="none" w:sz="0" w:space="0" w:color="auto"/>
                <w:left w:val="none" w:sz="0" w:space="0" w:color="auto"/>
                <w:bottom w:val="none" w:sz="0" w:space="0" w:color="auto"/>
                <w:right w:val="none" w:sz="0" w:space="0" w:color="auto"/>
              </w:divBdr>
            </w:div>
          </w:divsChild>
        </w:div>
        <w:div w:id="1464228357">
          <w:marLeft w:val="0"/>
          <w:marRight w:val="0"/>
          <w:marTop w:val="0"/>
          <w:marBottom w:val="0"/>
          <w:divBdr>
            <w:top w:val="none" w:sz="0" w:space="0" w:color="auto"/>
            <w:left w:val="none" w:sz="0" w:space="0" w:color="auto"/>
            <w:bottom w:val="none" w:sz="0" w:space="0" w:color="auto"/>
            <w:right w:val="none" w:sz="0" w:space="0" w:color="auto"/>
          </w:divBdr>
          <w:divsChild>
            <w:div w:id="588389750">
              <w:marLeft w:val="0"/>
              <w:marRight w:val="0"/>
              <w:marTop w:val="0"/>
              <w:marBottom w:val="0"/>
              <w:divBdr>
                <w:top w:val="none" w:sz="0" w:space="0" w:color="auto"/>
                <w:left w:val="none" w:sz="0" w:space="0" w:color="auto"/>
                <w:bottom w:val="none" w:sz="0" w:space="0" w:color="auto"/>
                <w:right w:val="none" w:sz="0" w:space="0" w:color="auto"/>
              </w:divBdr>
            </w:div>
          </w:divsChild>
        </w:div>
        <w:div w:id="1645085639">
          <w:marLeft w:val="0"/>
          <w:marRight w:val="0"/>
          <w:marTop w:val="0"/>
          <w:marBottom w:val="0"/>
          <w:divBdr>
            <w:top w:val="none" w:sz="0" w:space="0" w:color="auto"/>
            <w:left w:val="none" w:sz="0" w:space="0" w:color="auto"/>
            <w:bottom w:val="none" w:sz="0" w:space="0" w:color="auto"/>
            <w:right w:val="none" w:sz="0" w:space="0" w:color="auto"/>
          </w:divBdr>
          <w:divsChild>
            <w:div w:id="228196689">
              <w:marLeft w:val="0"/>
              <w:marRight w:val="0"/>
              <w:marTop w:val="0"/>
              <w:marBottom w:val="0"/>
              <w:divBdr>
                <w:top w:val="none" w:sz="0" w:space="0" w:color="auto"/>
                <w:left w:val="none" w:sz="0" w:space="0" w:color="auto"/>
                <w:bottom w:val="none" w:sz="0" w:space="0" w:color="auto"/>
                <w:right w:val="none" w:sz="0" w:space="0" w:color="auto"/>
              </w:divBdr>
            </w:div>
            <w:div w:id="50154231">
              <w:marLeft w:val="0"/>
              <w:marRight w:val="0"/>
              <w:marTop w:val="0"/>
              <w:marBottom w:val="0"/>
              <w:divBdr>
                <w:top w:val="none" w:sz="0" w:space="0" w:color="auto"/>
                <w:left w:val="none" w:sz="0" w:space="0" w:color="auto"/>
                <w:bottom w:val="none" w:sz="0" w:space="0" w:color="auto"/>
                <w:right w:val="none" w:sz="0" w:space="0" w:color="auto"/>
              </w:divBdr>
            </w:div>
            <w:div w:id="310646837">
              <w:marLeft w:val="0"/>
              <w:marRight w:val="0"/>
              <w:marTop w:val="0"/>
              <w:marBottom w:val="0"/>
              <w:divBdr>
                <w:top w:val="none" w:sz="0" w:space="0" w:color="auto"/>
                <w:left w:val="none" w:sz="0" w:space="0" w:color="auto"/>
                <w:bottom w:val="none" w:sz="0" w:space="0" w:color="auto"/>
                <w:right w:val="none" w:sz="0" w:space="0" w:color="auto"/>
              </w:divBdr>
            </w:div>
            <w:div w:id="983856866">
              <w:marLeft w:val="0"/>
              <w:marRight w:val="0"/>
              <w:marTop w:val="0"/>
              <w:marBottom w:val="0"/>
              <w:divBdr>
                <w:top w:val="none" w:sz="0" w:space="0" w:color="auto"/>
                <w:left w:val="none" w:sz="0" w:space="0" w:color="auto"/>
                <w:bottom w:val="none" w:sz="0" w:space="0" w:color="auto"/>
                <w:right w:val="none" w:sz="0" w:space="0" w:color="auto"/>
              </w:divBdr>
            </w:div>
          </w:divsChild>
        </w:div>
        <w:div w:id="2114395098">
          <w:marLeft w:val="0"/>
          <w:marRight w:val="0"/>
          <w:marTop w:val="0"/>
          <w:marBottom w:val="0"/>
          <w:divBdr>
            <w:top w:val="none" w:sz="0" w:space="0" w:color="auto"/>
            <w:left w:val="none" w:sz="0" w:space="0" w:color="auto"/>
            <w:bottom w:val="none" w:sz="0" w:space="0" w:color="auto"/>
            <w:right w:val="none" w:sz="0" w:space="0" w:color="auto"/>
          </w:divBdr>
          <w:divsChild>
            <w:div w:id="2025277080">
              <w:marLeft w:val="0"/>
              <w:marRight w:val="0"/>
              <w:marTop w:val="0"/>
              <w:marBottom w:val="0"/>
              <w:divBdr>
                <w:top w:val="none" w:sz="0" w:space="0" w:color="auto"/>
                <w:left w:val="none" w:sz="0" w:space="0" w:color="auto"/>
                <w:bottom w:val="none" w:sz="0" w:space="0" w:color="auto"/>
                <w:right w:val="none" w:sz="0" w:space="0" w:color="auto"/>
              </w:divBdr>
            </w:div>
            <w:div w:id="1358510584">
              <w:marLeft w:val="0"/>
              <w:marRight w:val="0"/>
              <w:marTop w:val="0"/>
              <w:marBottom w:val="0"/>
              <w:divBdr>
                <w:top w:val="none" w:sz="0" w:space="0" w:color="auto"/>
                <w:left w:val="none" w:sz="0" w:space="0" w:color="auto"/>
                <w:bottom w:val="none" w:sz="0" w:space="0" w:color="auto"/>
                <w:right w:val="none" w:sz="0" w:space="0" w:color="auto"/>
              </w:divBdr>
            </w:div>
            <w:div w:id="18068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Carpenter</dc:creator>
  <cp:keywords/>
  <dc:description/>
  <cp:lastModifiedBy>Pamela Carpenter</cp:lastModifiedBy>
  <cp:revision>2</cp:revision>
  <dcterms:created xsi:type="dcterms:W3CDTF">2023-11-15T20:17:00Z</dcterms:created>
  <dcterms:modified xsi:type="dcterms:W3CDTF">2023-11-15T20:20:00Z</dcterms:modified>
</cp:coreProperties>
</file>